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11AD0" w14:textId="77777777" w:rsidR="008732D0" w:rsidRPr="008732D0" w:rsidRDefault="008732D0" w:rsidP="008732D0">
      <w:pPr>
        <w:rPr>
          <w:rFonts w:ascii="Palatino Linotype" w:hAnsi="Palatino Linotype"/>
          <w:noProof/>
          <w:sz w:val="28"/>
          <w:szCs w:val="28"/>
        </w:rPr>
      </w:pPr>
      <w:r w:rsidRPr="008732D0">
        <w:rPr>
          <w:rFonts w:ascii="Palatino Linotype" w:hAnsi="Palatino Linotype"/>
          <w:noProof/>
          <w:sz w:val="28"/>
          <w:szCs w:val="28"/>
        </w:rPr>
        <w:t>Worksheet: Understanding Models of Acculturation in Explaining Cross-Cultural Experiences</w:t>
      </w:r>
    </w:p>
    <w:p w14:paraId="4ACE5E00" w14:textId="06C3415D" w:rsidR="008732D0" w:rsidRPr="008732D0" w:rsidRDefault="008732D0" w:rsidP="008732D0">
      <w:pPr>
        <w:rPr>
          <w:rFonts w:ascii="Palatino Linotype" w:hAnsi="Palatino Linotype"/>
          <w:b/>
          <w:bCs/>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4AC10DE7" wp14:editId="6ABA1BD5">
            <wp:simplePos x="0" y="0"/>
            <wp:positionH relativeFrom="margin">
              <wp:posOffset>2075815</wp:posOffset>
            </wp:positionH>
            <wp:positionV relativeFrom="paragraph">
              <wp:posOffset>15875</wp:posOffset>
            </wp:positionV>
            <wp:extent cx="3657600" cy="2438400"/>
            <wp:effectExtent l="0" t="0" r="0" b="0"/>
            <wp:wrapSquare wrapText="bothSides"/>
            <wp:docPr id="1270774928" name="Picture 1" descr="A suitcase with a toy airplane and clothes on the fl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774928" name="Picture 1" descr="A suitcase with a toy airplane and clothes on the floo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57600" cy="2438400"/>
                    </a:xfrm>
                    <a:prstGeom prst="rect">
                      <a:avLst/>
                    </a:prstGeom>
                  </pic:spPr>
                </pic:pic>
              </a:graphicData>
            </a:graphic>
            <wp14:sizeRelH relativeFrom="margin">
              <wp14:pctWidth>0</wp14:pctWidth>
            </wp14:sizeRelH>
            <wp14:sizeRelV relativeFrom="margin">
              <wp14:pctHeight>0</wp14:pctHeight>
            </wp14:sizeRelV>
          </wp:anchor>
        </w:drawing>
      </w:r>
      <w:r w:rsidRPr="008732D0">
        <w:rPr>
          <w:rFonts w:ascii="Palatino Linotype" w:hAnsi="Palatino Linotype"/>
          <w:b/>
          <w:bCs/>
          <w:noProof/>
          <w:sz w:val="20"/>
          <w:szCs w:val="20"/>
        </w:rPr>
        <w:t>Article: Applying Acculturation Models to Immigrants and Refugees</w:t>
      </w:r>
    </w:p>
    <w:p w14:paraId="69F907EE" w14:textId="76889F31" w:rsidR="008732D0" w:rsidRPr="008732D0" w:rsidRDefault="008732D0" w:rsidP="008732D0">
      <w:pPr>
        <w:rPr>
          <w:rFonts w:ascii="Palatino Linotype" w:hAnsi="Palatino Linotype"/>
          <w:noProof/>
          <w:sz w:val="20"/>
          <w:szCs w:val="20"/>
        </w:rPr>
      </w:pPr>
      <w:r w:rsidRPr="008732D0">
        <w:rPr>
          <w:rFonts w:ascii="Palatino Linotype" w:hAnsi="Palatino Linotype"/>
          <w:noProof/>
          <w:sz w:val="20"/>
          <w:szCs w:val="20"/>
        </w:rPr>
        <w:t>Acculturation refers to the process by which individuals adapt to and adopt the cultural norms and practices of a new culture while maintaining, modifying, or letting go of their original cultural identity. Psychologists have developed several models to understand and explain how people navigate this complex process. These models are particularly useful for studying the experiences of immigrants, refugees, and others who take an extended stay in a foreign culture.</w:t>
      </w:r>
    </w:p>
    <w:p w14:paraId="11B21ED0" w14:textId="1122FFFD" w:rsidR="008732D0" w:rsidRPr="008732D0" w:rsidRDefault="008732D0" w:rsidP="008732D0">
      <w:pPr>
        <w:rPr>
          <w:rFonts w:ascii="Palatino Linotype" w:hAnsi="Palatino Linotype"/>
          <w:noProof/>
          <w:sz w:val="20"/>
          <w:szCs w:val="20"/>
        </w:rPr>
      </w:pPr>
      <w:r w:rsidRPr="008732D0">
        <w:rPr>
          <w:rFonts w:ascii="Palatino Linotype" w:hAnsi="Palatino Linotype"/>
          <w:noProof/>
          <w:sz w:val="20"/>
          <w:szCs w:val="20"/>
        </w:rPr>
        <w:t>One widely recognized model is John Berry’s Acculturation Model, which identifies four distinct strategies individuals use when adjusting to a new culture: integration, assimilation, separation, and marginalization. These strategies are determined by two primary factors: the extent to which individuals maintain their original culture and the extent to which they engage with the new culture.</w:t>
      </w:r>
    </w:p>
    <w:p w14:paraId="7954D3DF" w14:textId="77777777" w:rsidR="008732D0" w:rsidRPr="008732D0" w:rsidRDefault="008732D0" w:rsidP="008732D0">
      <w:pPr>
        <w:numPr>
          <w:ilvl w:val="0"/>
          <w:numId w:val="17"/>
        </w:numPr>
        <w:rPr>
          <w:rFonts w:ascii="Palatino Linotype" w:hAnsi="Palatino Linotype"/>
          <w:noProof/>
          <w:sz w:val="20"/>
          <w:szCs w:val="20"/>
        </w:rPr>
      </w:pPr>
      <w:r w:rsidRPr="008732D0">
        <w:rPr>
          <w:rFonts w:ascii="Palatino Linotype" w:hAnsi="Palatino Linotype"/>
          <w:b/>
          <w:bCs/>
          <w:noProof/>
          <w:sz w:val="20"/>
          <w:szCs w:val="20"/>
        </w:rPr>
        <w:t>Integration</w:t>
      </w:r>
      <w:r w:rsidRPr="008732D0">
        <w:rPr>
          <w:rFonts w:ascii="Palatino Linotype" w:hAnsi="Palatino Linotype"/>
          <w:noProof/>
          <w:sz w:val="20"/>
          <w:szCs w:val="20"/>
        </w:rPr>
        <w:t xml:space="preserve"> occurs when individuals strive to maintain their cultural identity while also participating in the new culture. For example, an immigrant family might preserve their traditional food and language at home while embracing the customs and values of their host country in public spaces.</w:t>
      </w:r>
    </w:p>
    <w:p w14:paraId="465108B3" w14:textId="77777777" w:rsidR="008732D0" w:rsidRPr="008732D0" w:rsidRDefault="008732D0" w:rsidP="008732D0">
      <w:pPr>
        <w:numPr>
          <w:ilvl w:val="0"/>
          <w:numId w:val="17"/>
        </w:numPr>
        <w:rPr>
          <w:rFonts w:ascii="Palatino Linotype" w:hAnsi="Palatino Linotype"/>
          <w:noProof/>
          <w:sz w:val="20"/>
          <w:szCs w:val="20"/>
        </w:rPr>
      </w:pPr>
      <w:r w:rsidRPr="008732D0">
        <w:rPr>
          <w:rFonts w:ascii="Palatino Linotype" w:hAnsi="Palatino Linotype"/>
          <w:b/>
          <w:bCs/>
          <w:noProof/>
          <w:sz w:val="20"/>
          <w:szCs w:val="20"/>
        </w:rPr>
        <w:t>Assimilation</w:t>
      </w:r>
      <w:r w:rsidRPr="008732D0">
        <w:rPr>
          <w:rFonts w:ascii="Palatino Linotype" w:hAnsi="Palatino Linotype"/>
          <w:noProof/>
          <w:sz w:val="20"/>
          <w:szCs w:val="20"/>
        </w:rPr>
        <w:t xml:space="preserve"> involves fully adopting the new culture while letting go of one’s original cultural identity. An example might be a refugee who adopts the language, clothing styles, and social norms of the host culture to blend in completely.</w:t>
      </w:r>
    </w:p>
    <w:p w14:paraId="2DC78A14" w14:textId="77777777" w:rsidR="008732D0" w:rsidRPr="008732D0" w:rsidRDefault="008732D0" w:rsidP="008732D0">
      <w:pPr>
        <w:numPr>
          <w:ilvl w:val="0"/>
          <w:numId w:val="17"/>
        </w:numPr>
        <w:rPr>
          <w:rFonts w:ascii="Palatino Linotype" w:hAnsi="Palatino Linotype"/>
          <w:noProof/>
          <w:sz w:val="20"/>
          <w:szCs w:val="20"/>
        </w:rPr>
      </w:pPr>
      <w:r w:rsidRPr="008732D0">
        <w:rPr>
          <w:rFonts w:ascii="Palatino Linotype" w:hAnsi="Palatino Linotype"/>
          <w:b/>
          <w:bCs/>
          <w:noProof/>
          <w:sz w:val="20"/>
          <w:szCs w:val="20"/>
        </w:rPr>
        <w:t>Separation</w:t>
      </w:r>
      <w:r w:rsidRPr="008732D0">
        <w:rPr>
          <w:rFonts w:ascii="Palatino Linotype" w:hAnsi="Palatino Linotype"/>
          <w:noProof/>
          <w:sz w:val="20"/>
          <w:szCs w:val="20"/>
        </w:rPr>
        <w:t xml:space="preserve"> happens when individuals reject the new culture and focus exclusively on preserving their original cultural identity. This might be seen in communities of immigrants who isolate themselves and avoid interaction with the broader society.</w:t>
      </w:r>
    </w:p>
    <w:p w14:paraId="5B08ECF1" w14:textId="77777777" w:rsidR="008732D0" w:rsidRPr="008732D0" w:rsidRDefault="008732D0" w:rsidP="008732D0">
      <w:pPr>
        <w:numPr>
          <w:ilvl w:val="0"/>
          <w:numId w:val="17"/>
        </w:numPr>
        <w:rPr>
          <w:rFonts w:ascii="Palatino Linotype" w:hAnsi="Palatino Linotype"/>
          <w:noProof/>
          <w:sz w:val="20"/>
          <w:szCs w:val="20"/>
        </w:rPr>
      </w:pPr>
      <w:r w:rsidRPr="008732D0">
        <w:rPr>
          <w:rFonts w:ascii="Palatino Linotype" w:hAnsi="Palatino Linotype"/>
          <w:b/>
          <w:bCs/>
          <w:noProof/>
          <w:sz w:val="20"/>
          <w:szCs w:val="20"/>
        </w:rPr>
        <w:t>Marginalization</w:t>
      </w:r>
      <w:r w:rsidRPr="008732D0">
        <w:rPr>
          <w:rFonts w:ascii="Palatino Linotype" w:hAnsi="Palatino Linotype"/>
          <w:noProof/>
          <w:sz w:val="20"/>
          <w:szCs w:val="20"/>
        </w:rPr>
        <w:t xml:space="preserve"> describes individuals who feel disconnected from both their original culture and the new one. This can occur when people face discrimination or other barriers to full participation in their host society while also losing ties to their original culture.</w:t>
      </w:r>
    </w:p>
    <w:p w14:paraId="0076C4ED" w14:textId="77777777" w:rsidR="008732D0" w:rsidRPr="008732D0" w:rsidRDefault="008732D0" w:rsidP="008732D0">
      <w:pPr>
        <w:rPr>
          <w:rFonts w:ascii="Palatino Linotype" w:hAnsi="Palatino Linotype"/>
          <w:noProof/>
          <w:sz w:val="20"/>
          <w:szCs w:val="20"/>
        </w:rPr>
      </w:pPr>
      <w:r w:rsidRPr="008732D0">
        <w:rPr>
          <w:rFonts w:ascii="Palatino Linotype" w:hAnsi="Palatino Linotype"/>
          <w:noProof/>
          <w:sz w:val="20"/>
          <w:szCs w:val="20"/>
        </w:rPr>
        <w:t>These acculturation strategies provide insight into the diverse experiences of individuals adapting to a new culture. For example, refugees often face unique challenges, including language barriers, trauma, and systemic discrimination, which can influence their acculturation strategy. A refugee might initially adopt a separation strategy to cope with cultural shock before gradually transitioning to integration as they gain support and resources.</w:t>
      </w:r>
    </w:p>
    <w:p w14:paraId="676D76BC" w14:textId="77777777" w:rsidR="008732D0" w:rsidRPr="008732D0" w:rsidRDefault="008732D0" w:rsidP="008732D0">
      <w:pPr>
        <w:rPr>
          <w:rFonts w:ascii="Palatino Linotype" w:hAnsi="Palatino Linotype"/>
          <w:noProof/>
          <w:sz w:val="20"/>
          <w:szCs w:val="20"/>
        </w:rPr>
      </w:pPr>
      <w:r w:rsidRPr="008732D0">
        <w:rPr>
          <w:rFonts w:ascii="Palatino Linotype" w:hAnsi="Palatino Linotype"/>
          <w:noProof/>
          <w:sz w:val="20"/>
          <w:szCs w:val="20"/>
        </w:rPr>
        <w:t xml:space="preserve">Another important model is the Stress and Coping Framework, which views acculturation as a process influenced by stressors like language acquisition and discrimination, as well as coping </w:t>
      </w:r>
      <w:r w:rsidRPr="008732D0">
        <w:rPr>
          <w:rFonts w:ascii="Palatino Linotype" w:hAnsi="Palatino Linotype"/>
          <w:noProof/>
          <w:sz w:val="20"/>
          <w:szCs w:val="20"/>
        </w:rPr>
        <w:lastRenderedPageBreak/>
        <w:t>resources like community support. This model emphasizes the importance of both individual resilience and systemic factors in shaping the acculturation experience.</w:t>
      </w:r>
    </w:p>
    <w:p w14:paraId="6D7104CE" w14:textId="77777777" w:rsidR="008732D0" w:rsidRDefault="008732D0" w:rsidP="008732D0">
      <w:pPr>
        <w:rPr>
          <w:rFonts w:ascii="Palatino Linotype" w:hAnsi="Palatino Linotype"/>
          <w:noProof/>
          <w:sz w:val="20"/>
          <w:szCs w:val="20"/>
        </w:rPr>
      </w:pPr>
      <w:r w:rsidRPr="008732D0">
        <w:rPr>
          <w:rFonts w:ascii="Palatino Linotype" w:hAnsi="Palatino Linotype"/>
          <w:noProof/>
          <w:sz w:val="20"/>
          <w:szCs w:val="20"/>
        </w:rPr>
        <w:t>Understanding these models is crucial for policymakers, educators, and mental health professionals who work with immigrants and refugees. By recognizing the diverse ways people adapt to new cultural environments, they can develop more effective strategies to support individuals during the acculturation process.</w:t>
      </w:r>
    </w:p>
    <w:p w14:paraId="44C0193B" w14:textId="77777777" w:rsidR="008732D0" w:rsidRPr="008732D0" w:rsidRDefault="008732D0" w:rsidP="008732D0">
      <w:pPr>
        <w:rPr>
          <w:rFonts w:ascii="Palatino Linotype" w:hAnsi="Palatino Linotype"/>
          <w:noProof/>
          <w:sz w:val="20"/>
          <w:szCs w:val="20"/>
        </w:rPr>
      </w:pPr>
    </w:p>
    <w:p w14:paraId="73F9CA11" w14:textId="77777777" w:rsidR="008732D0" w:rsidRPr="008732D0" w:rsidRDefault="008732D0" w:rsidP="008732D0">
      <w:pPr>
        <w:numPr>
          <w:ilvl w:val="0"/>
          <w:numId w:val="18"/>
        </w:numPr>
        <w:rPr>
          <w:rFonts w:ascii="Palatino Linotype" w:hAnsi="Palatino Linotype"/>
          <w:noProof/>
          <w:sz w:val="20"/>
          <w:szCs w:val="20"/>
        </w:rPr>
      </w:pPr>
      <w:r w:rsidRPr="008732D0">
        <w:rPr>
          <w:rFonts w:ascii="Palatino Linotype" w:hAnsi="Palatino Linotype"/>
          <w:noProof/>
          <w:sz w:val="20"/>
          <w:szCs w:val="20"/>
        </w:rPr>
        <w:t>What is acculturation?</w:t>
      </w:r>
    </w:p>
    <w:p w14:paraId="50C9D846" w14:textId="77777777" w:rsidR="008732D0" w:rsidRPr="008732D0" w:rsidRDefault="008732D0" w:rsidP="008732D0">
      <w:pPr>
        <w:numPr>
          <w:ilvl w:val="0"/>
          <w:numId w:val="18"/>
        </w:numPr>
        <w:rPr>
          <w:rFonts w:ascii="Palatino Linotype" w:hAnsi="Palatino Linotype"/>
          <w:noProof/>
          <w:sz w:val="20"/>
          <w:szCs w:val="20"/>
        </w:rPr>
      </w:pPr>
      <w:r w:rsidRPr="008732D0">
        <w:rPr>
          <w:rFonts w:ascii="Palatino Linotype" w:hAnsi="Palatino Linotype"/>
          <w:noProof/>
          <w:sz w:val="20"/>
          <w:szCs w:val="20"/>
        </w:rPr>
        <w:t>Name and describe the four strategies in Berry’s Acculturation Model.</w:t>
      </w:r>
    </w:p>
    <w:p w14:paraId="6A7AD70F" w14:textId="77777777" w:rsidR="008732D0" w:rsidRPr="008732D0" w:rsidRDefault="008732D0" w:rsidP="008732D0">
      <w:pPr>
        <w:numPr>
          <w:ilvl w:val="0"/>
          <w:numId w:val="18"/>
        </w:numPr>
        <w:rPr>
          <w:rFonts w:ascii="Palatino Linotype" w:hAnsi="Palatino Linotype"/>
          <w:noProof/>
          <w:sz w:val="20"/>
          <w:szCs w:val="20"/>
        </w:rPr>
      </w:pPr>
      <w:r w:rsidRPr="008732D0">
        <w:rPr>
          <w:rFonts w:ascii="Palatino Linotype" w:hAnsi="Palatino Linotype"/>
          <w:noProof/>
          <w:sz w:val="20"/>
          <w:szCs w:val="20"/>
        </w:rPr>
        <w:t>Provide an example of integration as an acculturation strategy.</w:t>
      </w:r>
    </w:p>
    <w:p w14:paraId="05994E4B" w14:textId="77777777" w:rsidR="008732D0" w:rsidRPr="008732D0" w:rsidRDefault="008732D0" w:rsidP="008732D0">
      <w:pPr>
        <w:numPr>
          <w:ilvl w:val="0"/>
          <w:numId w:val="18"/>
        </w:numPr>
        <w:rPr>
          <w:rFonts w:ascii="Palatino Linotype" w:hAnsi="Palatino Linotype"/>
          <w:noProof/>
          <w:sz w:val="20"/>
          <w:szCs w:val="20"/>
        </w:rPr>
      </w:pPr>
      <w:r w:rsidRPr="008732D0">
        <w:rPr>
          <w:rFonts w:ascii="Palatino Linotype" w:hAnsi="Palatino Linotype"/>
          <w:noProof/>
          <w:sz w:val="20"/>
          <w:szCs w:val="20"/>
        </w:rPr>
        <w:t>How does assimilation differ from integration?</w:t>
      </w:r>
    </w:p>
    <w:p w14:paraId="655D3FAD" w14:textId="77777777" w:rsidR="008732D0" w:rsidRPr="008732D0" w:rsidRDefault="008732D0" w:rsidP="008732D0">
      <w:pPr>
        <w:numPr>
          <w:ilvl w:val="0"/>
          <w:numId w:val="18"/>
        </w:numPr>
        <w:rPr>
          <w:rFonts w:ascii="Palatino Linotype" w:hAnsi="Palatino Linotype"/>
          <w:noProof/>
          <w:sz w:val="20"/>
          <w:szCs w:val="20"/>
        </w:rPr>
      </w:pPr>
      <w:r w:rsidRPr="008732D0">
        <w:rPr>
          <w:rFonts w:ascii="Palatino Linotype" w:hAnsi="Palatino Linotype"/>
          <w:noProof/>
          <w:sz w:val="20"/>
          <w:szCs w:val="20"/>
        </w:rPr>
        <w:t>What is the primary characteristic of the separation strategy?</w:t>
      </w:r>
    </w:p>
    <w:p w14:paraId="4560C509" w14:textId="77777777" w:rsidR="008732D0" w:rsidRPr="008732D0" w:rsidRDefault="008732D0" w:rsidP="008732D0">
      <w:pPr>
        <w:numPr>
          <w:ilvl w:val="0"/>
          <w:numId w:val="18"/>
        </w:numPr>
        <w:rPr>
          <w:rFonts w:ascii="Palatino Linotype" w:hAnsi="Palatino Linotype"/>
          <w:noProof/>
          <w:sz w:val="20"/>
          <w:szCs w:val="20"/>
        </w:rPr>
      </w:pPr>
      <w:r w:rsidRPr="008732D0">
        <w:rPr>
          <w:rFonts w:ascii="Palatino Linotype" w:hAnsi="Palatino Linotype"/>
          <w:noProof/>
          <w:sz w:val="20"/>
          <w:szCs w:val="20"/>
        </w:rPr>
        <w:t>Define marginalization in the context of acculturation.</w:t>
      </w:r>
    </w:p>
    <w:p w14:paraId="2C73C768" w14:textId="77777777" w:rsidR="008732D0" w:rsidRPr="008732D0" w:rsidRDefault="008732D0" w:rsidP="008732D0">
      <w:pPr>
        <w:numPr>
          <w:ilvl w:val="0"/>
          <w:numId w:val="18"/>
        </w:numPr>
        <w:rPr>
          <w:rFonts w:ascii="Palatino Linotype" w:hAnsi="Palatino Linotype"/>
          <w:noProof/>
          <w:sz w:val="20"/>
          <w:szCs w:val="20"/>
        </w:rPr>
      </w:pPr>
      <w:r w:rsidRPr="008732D0">
        <w:rPr>
          <w:rFonts w:ascii="Palatino Linotype" w:hAnsi="Palatino Linotype"/>
          <w:noProof/>
          <w:sz w:val="20"/>
          <w:szCs w:val="20"/>
        </w:rPr>
        <w:t>What factors influence the choice of an acculturation strategy?</w:t>
      </w:r>
    </w:p>
    <w:p w14:paraId="70B5B227" w14:textId="77777777" w:rsidR="008732D0" w:rsidRPr="008732D0" w:rsidRDefault="008732D0" w:rsidP="008732D0">
      <w:pPr>
        <w:numPr>
          <w:ilvl w:val="0"/>
          <w:numId w:val="18"/>
        </w:numPr>
        <w:rPr>
          <w:rFonts w:ascii="Palatino Linotype" w:hAnsi="Palatino Linotype"/>
          <w:noProof/>
          <w:sz w:val="20"/>
          <w:szCs w:val="20"/>
        </w:rPr>
      </w:pPr>
      <w:r w:rsidRPr="008732D0">
        <w:rPr>
          <w:rFonts w:ascii="Palatino Linotype" w:hAnsi="Palatino Linotype"/>
          <w:noProof/>
          <w:sz w:val="20"/>
          <w:szCs w:val="20"/>
        </w:rPr>
        <w:t>How might systemic discrimination affect acculturation?</w:t>
      </w:r>
    </w:p>
    <w:p w14:paraId="0580660D" w14:textId="77777777" w:rsidR="008732D0" w:rsidRPr="008732D0" w:rsidRDefault="008732D0" w:rsidP="008732D0">
      <w:pPr>
        <w:numPr>
          <w:ilvl w:val="0"/>
          <w:numId w:val="18"/>
        </w:numPr>
        <w:rPr>
          <w:rFonts w:ascii="Palatino Linotype" w:hAnsi="Palatino Linotype"/>
          <w:noProof/>
          <w:sz w:val="20"/>
          <w:szCs w:val="20"/>
        </w:rPr>
      </w:pPr>
      <w:r w:rsidRPr="008732D0">
        <w:rPr>
          <w:rFonts w:ascii="Palatino Linotype" w:hAnsi="Palatino Linotype"/>
          <w:noProof/>
          <w:sz w:val="20"/>
          <w:szCs w:val="20"/>
        </w:rPr>
        <w:t>What challenges do refugees often face during the acculturation process?</w:t>
      </w:r>
    </w:p>
    <w:p w14:paraId="29D7B925" w14:textId="77777777" w:rsidR="008732D0" w:rsidRPr="008732D0" w:rsidRDefault="008732D0" w:rsidP="008732D0">
      <w:pPr>
        <w:numPr>
          <w:ilvl w:val="0"/>
          <w:numId w:val="18"/>
        </w:numPr>
        <w:rPr>
          <w:rFonts w:ascii="Palatino Linotype" w:hAnsi="Palatino Linotype"/>
          <w:noProof/>
          <w:sz w:val="20"/>
          <w:szCs w:val="20"/>
        </w:rPr>
      </w:pPr>
      <w:r w:rsidRPr="008732D0">
        <w:rPr>
          <w:rFonts w:ascii="Palatino Linotype" w:hAnsi="Palatino Linotype"/>
          <w:noProof/>
          <w:sz w:val="20"/>
          <w:szCs w:val="20"/>
        </w:rPr>
        <w:t>How does the Stress and Coping Framework explain acculturation?</w:t>
      </w:r>
    </w:p>
    <w:p w14:paraId="53E691AA" w14:textId="77777777" w:rsidR="008732D0" w:rsidRPr="008732D0" w:rsidRDefault="008732D0" w:rsidP="008732D0">
      <w:pPr>
        <w:numPr>
          <w:ilvl w:val="0"/>
          <w:numId w:val="18"/>
        </w:numPr>
        <w:rPr>
          <w:rFonts w:ascii="Palatino Linotype" w:hAnsi="Palatino Linotype"/>
          <w:noProof/>
          <w:sz w:val="20"/>
          <w:szCs w:val="20"/>
        </w:rPr>
      </w:pPr>
      <w:r w:rsidRPr="008732D0">
        <w:rPr>
          <w:rFonts w:ascii="Palatino Linotype" w:hAnsi="Palatino Linotype"/>
          <w:noProof/>
          <w:sz w:val="20"/>
          <w:szCs w:val="20"/>
        </w:rPr>
        <w:t>What role does community support play in acculturation?</w:t>
      </w:r>
    </w:p>
    <w:p w14:paraId="4F6EFCB3" w14:textId="77777777" w:rsidR="008732D0" w:rsidRPr="008732D0" w:rsidRDefault="008732D0" w:rsidP="008732D0">
      <w:pPr>
        <w:numPr>
          <w:ilvl w:val="0"/>
          <w:numId w:val="18"/>
        </w:numPr>
        <w:rPr>
          <w:rFonts w:ascii="Palatino Linotype" w:hAnsi="Palatino Linotype"/>
          <w:noProof/>
          <w:sz w:val="20"/>
          <w:szCs w:val="20"/>
        </w:rPr>
      </w:pPr>
      <w:r w:rsidRPr="008732D0">
        <w:rPr>
          <w:rFonts w:ascii="Palatino Linotype" w:hAnsi="Palatino Linotype"/>
          <w:noProof/>
          <w:sz w:val="20"/>
          <w:szCs w:val="20"/>
        </w:rPr>
        <w:t>Why is it important to understand acculturation strategies?</w:t>
      </w:r>
    </w:p>
    <w:p w14:paraId="6FE145FA" w14:textId="77777777" w:rsidR="008732D0" w:rsidRPr="008732D0" w:rsidRDefault="008732D0" w:rsidP="008732D0">
      <w:pPr>
        <w:numPr>
          <w:ilvl w:val="0"/>
          <w:numId w:val="18"/>
        </w:numPr>
        <w:rPr>
          <w:rFonts w:ascii="Palatino Linotype" w:hAnsi="Palatino Linotype"/>
          <w:noProof/>
          <w:sz w:val="20"/>
          <w:szCs w:val="20"/>
        </w:rPr>
      </w:pPr>
      <w:r w:rsidRPr="008732D0">
        <w:rPr>
          <w:rFonts w:ascii="Palatino Linotype" w:hAnsi="Palatino Linotype"/>
          <w:noProof/>
          <w:sz w:val="20"/>
          <w:szCs w:val="20"/>
        </w:rPr>
        <w:t>How can language barriers impact acculturation outcomes?</w:t>
      </w:r>
    </w:p>
    <w:p w14:paraId="304677B1" w14:textId="77777777" w:rsidR="008732D0" w:rsidRPr="008732D0" w:rsidRDefault="008732D0" w:rsidP="008732D0">
      <w:pPr>
        <w:numPr>
          <w:ilvl w:val="0"/>
          <w:numId w:val="18"/>
        </w:numPr>
        <w:rPr>
          <w:rFonts w:ascii="Palatino Linotype" w:hAnsi="Palatino Linotype"/>
          <w:noProof/>
          <w:sz w:val="20"/>
          <w:szCs w:val="20"/>
        </w:rPr>
      </w:pPr>
      <w:r w:rsidRPr="008732D0">
        <w:rPr>
          <w:rFonts w:ascii="Palatino Linotype" w:hAnsi="Palatino Linotype"/>
          <w:noProof/>
          <w:sz w:val="20"/>
          <w:szCs w:val="20"/>
        </w:rPr>
        <w:t>Describe how cultural shock might influence an individual’s acculturation strategy.</w:t>
      </w:r>
    </w:p>
    <w:p w14:paraId="1A6A7C1F" w14:textId="77777777" w:rsidR="008732D0" w:rsidRPr="008732D0" w:rsidRDefault="008732D0" w:rsidP="008732D0">
      <w:pPr>
        <w:numPr>
          <w:ilvl w:val="0"/>
          <w:numId w:val="18"/>
        </w:numPr>
        <w:rPr>
          <w:rFonts w:ascii="Palatino Linotype" w:hAnsi="Palatino Linotype"/>
          <w:noProof/>
          <w:sz w:val="20"/>
          <w:szCs w:val="20"/>
        </w:rPr>
      </w:pPr>
      <w:r w:rsidRPr="008732D0">
        <w:rPr>
          <w:rFonts w:ascii="Palatino Linotype" w:hAnsi="Palatino Linotype"/>
          <w:noProof/>
          <w:sz w:val="20"/>
          <w:szCs w:val="20"/>
        </w:rPr>
        <w:t>Why might an individual transition between different acculturation strategies over time?</w:t>
      </w:r>
    </w:p>
    <w:p w14:paraId="660EB167" w14:textId="77777777" w:rsidR="008732D0" w:rsidRPr="008732D0" w:rsidRDefault="008732D0" w:rsidP="008732D0">
      <w:pPr>
        <w:numPr>
          <w:ilvl w:val="0"/>
          <w:numId w:val="19"/>
        </w:numPr>
        <w:rPr>
          <w:rFonts w:ascii="Palatino Linotype" w:hAnsi="Palatino Linotype"/>
          <w:noProof/>
          <w:sz w:val="20"/>
          <w:szCs w:val="20"/>
        </w:rPr>
      </w:pPr>
      <w:r w:rsidRPr="008732D0">
        <w:rPr>
          <w:rFonts w:ascii="Palatino Linotype" w:hAnsi="Palatino Linotype"/>
          <w:noProof/>
          <w:sz w:val="20"/>
          <w:szCs w:val="20"/>
        </w:rPr>
        <w:t>Which acculturation strategy do you think is the most beneficial for immigrants and refugees? Why?</w:t>
      </w:r>
    </w:p>
    <w:p w14:paraId="5CB8AF5C" w14:textId="77777777" w:rsidR="008732D0" w:rsidRPr="008732D0" w:rsidRDefault="008732D0" w:rsidP="008732D0">
      <w:pPr>
        <w:numPr>
          <w:ilvl w:val="0"/>
          <w:numId w:val="19"/>
        </w:numPr>
        <w:rPr>
          <w:rFonts w:ascii="Palatino Linotype" w:hAnsi="Palatino Linotype"/>
          <w:noProof/>
          <w:sz w:val="20"/>
          <w:szCs w:val="20"/>
        </w:rPr>
      </w:pPr>
      <w:r w:rsidRPr="008732D0">
        <w:rPr>
          <w:rFonts w:ascii="Palatino Linotype" w:hAnsi="Palatino Linotype"/>
          <w:noProof/>
          <w:sz w:val="20"/>
          <w:szCs w:val="20"/>
        </w:rPr>
        <w:t>How might cultural attitudes in the host society influence an individual’s acculturation process?</w:t>
      </w:r>
    </w:p>
    <w:p w14:paraId="342C3F54" w14:textId="77777777" w:rsidR="008732D0" w:rsidRPr="008732D0" w:rsidRDefault="008732D0" w:rsidP="008732D0">
      <w:pPr>
        <w:numPr>
          <w:ilvl w:val="0"/>
          <w:numId w:val="19"/>
        </w:numPr>
        <w:rPr>
          <w:rFonts w:ascii="Palatino Linotype" w:hAnsi="Palatino Linotype"/>
          <w:noProof/>
          <w:sz w:val="20"/>
          <w:szCs w:val="20"/>
        </w:rPr>
      </w:pPr>
      <w:r w:rsidRPr="008732D0">
        <w:rPr>
          <w:rFonts w:ascii="Palatino Linotype" w:hAnsi="Palatino Linotype"/>
          <w:noProof/>
          <w:sz w:val="20"/>
          <w:szCs w:val="20"/>
        </w:rPr>
        <w:t>Discuss how acculturation models could guide mental health professionals working with refugees.</w:t>
      </w:r>
    </w:p>
    <w:p w14:paraId="20864A5E" w14:textId="77777777" w:rsidR="008732D0" w:rsidRPr="008732D0" w:rsidRDefault="008732D0" w:rsidP="008732D0">
      <w:pPr>
        <w:numPr>
          <w:ilvl w:val="0"/>
          <w:numId w:val="19"/>
        </w:numPr>
        <w:rPr>
          <w:rFonts w:ascii="Palatino Linotype" w:hAnsi="Palatino Linotype"/>
          <w:noProof/>
          <w:sz w:val="20"/>
          <w:szCs w:val="20"/>
        </w:rPr>
      </w:pPr>
      <w:r w:rsidRPr="008732D0">
        <w:rPr>
          <w:rFonts w:ascii="Palatino Linotype" w:hAnsi="Palatino Linotype"/>
          <w:noProof/>
          <w:sz w:val="20"/>
          <w:szCs w:val="20"/>
        </w:rPr>
        <w:t>What are the limitations of Berry’s Acculturation Model when applied to modern multicultural societies?</w:t>
      </w:r>
    </w:p>
    <w:p w14:paraId="794EDDB8" w14:textId="3D88F967" w:rsidR="00F71942" w:rsidRPr="008732D0" w:rsidRDefault="008732D0" w:rsidP="008732D0">
      <w:pPr>
        <w:numPr>
          <w:ilvl w:val="0"/>
          <w:numId w:val="19"/>
        </w:numPr>
        <w:rPr>
          <w:rFonts w:ascii="Palatino Linotype" w:hAnsi="Palatino Linotype"/>
          <w:noProof/>
          <w:sz w:val="20"/>
          <w:szCs w:val="20"/>
        </w:rPr>
      </w:pPr>
      <w:r w:rsidRPr="008732D0">
        <w:rPr>
          <w:rFonts w:ascii="Palatino Linotype" w:hAnsi="Palatino Linotype"/>
          <w:noProof/>
          <w:sz w:val="20"/>
          <w:szCs w:val="20"/>
        </w:rPr>
        <w:t>Reflect on a situation where you or someone you know had to adapt to a new cultural environment. Which acculturation strategy was used, and what influenced that choice?</w:t>
      </w:r>
    </w:p>
    <w:p w14:paraId="44B99A63" w14:textId="39FF5FD3" w:rsidR="00F07FA5" w:rsidRPr="003F1286" w:rsidRDefault="00F07FA5" w:rsidP="00C21E66">
      <w:pPr>
        <w:rPr>
          <w:rFonts w:ascii="Arial" w:hAnsi="Arial" w:cs="Arial"/>
          <w:sz w:val="12"/>
          <w:szCs w:val="12"/>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0A6EB5"/>
    <w:multiLevelType w:val="multilevel"/>
    <w:tmpl w:val="B41E7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1DE6AEA"/>
    <w:multiLevelType w:val="multilevel"/>
    <w:tmpl w:val="A2A04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B144801"/>
    <w:multiLevelType w:val="multilevel"/>
    <w:tmpl w:val="228EFA5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345222"/>
    <w:multiLevelType w:val="multilevel"/>
    <w:tmpl w:val="2D94EF2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2A765BA"/>
    <w:multiLevelType w:val="multilevel"/>
    <w:tmpl w:val="D9ECC8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5B05FBB"/>
    <w:multiLevelType w:val="multilevel"/>
    <w:tmpl w:val="94BA456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1AD24C5"/>
    <w:multiLevelType w:val="multilevel"/>
    <w:tmpl w:val="8B4EA0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2357021"/>
    <w:multiLevelType w:val="multilevel"/>
    <w:tmpl w:val="E70092D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40245AE"/>
    <w:multiLevelType w:val="multilevel"/>
    <w:tmpl w:val="C3B809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2"/>
  </w:num>
  <w:num w:numId="3" w16cid:durableId="1445421536">
    <w:abstractNumId w:val="15"/>
  </w:num>
  <w:num w:numId="4" w16cid:durableId="2052877603">
    <w:abstractNumId w:val="8"/>
  </w:num>
  <w:num w:numId="5" w16cid:durableId="367291991">
    <w:abstractNumId w:val="11"/>
  </w:num>
  <w:num w:numId="6" w16cid:durableId="617294553">
    <w:abstractNumId w:val="17"/>
  </w:num>
  <w:num w:numId="7" w16cid:durableId="2030332939">
    <w:abstractNumId w:val="10"/>
  </w:num>
  <w:num w:numId="8" w16cid:durableId="179635146">
    <w:abstractNumId w:val="2"/>
  </w:num>
  <w:num w:numId="9" w16cid:durableId="796071031">
    <w:abstractNumId w:val="4"/>
  </w:num>
  <w:num w:numId="10" w16cid:durableId="1226335305">
    <w:abstractNumId w:val="16"/>
  </w:num>
  <w:num w:numId="11" w16cid:durableId="1859736532">
    <w:abstractNumId w:val="3"/>
  </w:num>
  <w:num w:numId="12" w16cid:durableId="1931624405">
    <w:abstractNumId w:val="9"/>
  </w:num>
  <w:num w:numId="13" w16cid:durableId="339046201">
    <w:abstractNumId w:val="13"/>
  </w:num>
  <w:num w:numId="14" w16cid:durableId="1262910109">
    <w:abstractNumId w:val="6"/>
  </w:num>
  <w:num w:numId="15" w16cid:durableId="1631938247">
    <w:abstractNumId w:val="18"/>
  </w:num>
  <w:num w:numId="16" w16cid:durableId="2111898014">
    <w:abstractNumId w:val="5"/>
  </w:num>
  <w:num w:numId="17" w16cid:durableId="1575434564">
    <w:abstractNumId w:val="1"/>
  </w:num>
  <w:num w:numId="18" w16cid:durableId="290019372">
    <w:abstractNumId w:val="7"/>
  </w:num>
  <w:num w:numId="19" w16cid:durableId="8332564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95EA8"/>
    <w:rsid w:val="008732D0"/>
    <w:rsid w:val="00B25AAB"/>
    <w:rsid w:val="00C21E66"/>
    <w:rsid w:val="00C31E4B"/>
    <w:rsid w:val="00E45765"/>
    <w:rsid w:val="00F07FA5"/>
    <w:rsid w:val="00F71942"/>
    <w:rsid w:val="00F848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F8484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368634">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14978880">
      <w:bodyDiv w:val="1"/>
      <w:marLeft w:val="0"/>
      <w:marRight w:val="0"/>
      <w:marTop w:val="0"/>
      <w:marBottom w:val="0"/>
      <w:divBdr>
        <w:top w:val="none" w:sz="0" w:space="0" w:color="auto"/>
        <w:left w:val="none" w:sz="0" w:space="0" w:color="auto"/>
        <w:bottom w:val="none" w:sz="0" w:space="0" w:color="auto"/>
        <w:right w:val="none" w:sz="0" w:space="0" w:color="auto"/>
      </w:divBdr>
    </w:div>
    <w:div w:id="44207101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42296959">
      <w:bodyDiv w:val="1"/>
      <w:marLeft w:val="0"/>
      <w:marRight w:val="0"/>
      <w:marTop w:val="0"/>
      <w:marBottom w:val="0"/>
      <w:divBdr>
        <w:top w:val="none" w:sz="0" w:space="0" w:color="auto"/>
        <w:left w:val="none" w:sz="0" w:space="0" w:color="auto"/>
        <w:bottom w:val="none" w:sz="0" w:space="0" w:color="auto"/>
        <w:right w:val="none" w:sz="0" w:space="0" w:color="auto"/>
      </w:divBdr>
    </w:div>
    <w:div w:id="1089470671">
      <w:bodyDiv w:val="1"/>
      <w:marLeft w:val="0"/>
      <w:marRight w:val="0"/>
      <w:marTop w:val="0"/>
      <w:marBottom w:val="0"/>
      <w:divBdr>
        <w:top w:val="none" w:sz="0" w:space="0" w:color="auto"/>
        <w:left w:val="none" w:sz="0" w:space="0" w:color="auto"/>
        <w:bottom w:val="none" w:sz="0" w:space="0" w:color="auto"/>
        <w:right w:val="none" w:sz="0" w:space="0" w:color="auto"/>
      </w:divBdr>
    </w:div>
    <w:div w:id="1265916258">
      <w:bodyDiv w:val="1"/>
      <w:marLeft w:val="0"/>
      <w:marRight w:val="0"/>
      <w:marTop w:val="0"/>
      <w:marBottom w:val="0"/>
      <w:divBdr>
        <w:top w:val="none" w:sz="0" w:space="0" w:color="auto"/>
        <w:left w:val="none" w:sz="0" w:space="0" w:color="auto"/>
        <w:bottom w:val="none" w:sz="0" w:space="0" w:color="auto"/>
        <w:right w:val="none" w:sz="0" w:space="0" w:color="auto"/>
      </w:divBdr>
    </w:div>
    <w:div w:id="1348557397">
      <w:bodyDiv w:val="1"/>
      <w:marLeft w:val="0"/>
      <w:marRight w:val="0"/>
      <w:marTop w:val="0"/>
      <w:marBottom w:val="0"/>
      <w:divBdr>
        <w:top w:val="none" w:sz="0" w:space="0" w:color="auto"/>
        <w:left w:val="none" w:sz="0" w:space="0" w:color="auto"/>
        <w:bottom w:val="none" w:sz="0" w:space="0" w:color="auto"/>
        <w:right w:val="none" w:sz="0" w:space="0" w:color="auto"/>
      </w:divBdr>
    </w:div>
    <w:div w:id="1536040972">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13669617">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28830484">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2</Pages>
  <Words>724</Words>
  <Characters>4129</Characters>
  <Application>Microsoft Office Word</Application>
  <DocSecurity>0</DocSecurity>
  <Lines>34</Lines>
  <Paragraphs>9</Paragraphs>
  <ScaleCrop>false</ScaleCrop>
  <Company/>
  <LinksUpToDate>false</LinksUpToDate>
  <CharactersWithSpaces>4844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2025-01-19T17:38:00Z</dcterms:modified>
</cp:coreProperties>
</file>