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04B944" w14:textId="77777777" w:rsidR="008B0DB0" w:rsidRPr="008B0DB0" w:rsidRDefault="008B0DB0" w:rsidP="008B0DB0">
      <w:pPr>
        <w:rPr>
          <w:rFonts w:ascii="Palatino Linotype" w:hAnsi="Palatino Linotype" w:cs="Arial"/>
          <w:sz w:val="28"/>
          <w:szCs w:val="28"/>
        </w:rPr>
      </w:pPr>
      <w:r w:rsidRPr="008B0DB0">
        <w:rPr>
          <w:rFonts w:ascii="Palatino Linotype" w:hAnsi="Palatino Linotype" w:cs="Arial"/>
          <w:sz w:val="28"/>
          <w:szCs w:val="28"/>
        </w:rPr>
        <w:t>Worksheet: Genetic Inheritance and Behaviour</w:t>
      </w:r>
    </w:p>
    <w:p w14:paraId="04443AE7" w14:textId="744E5C7E" w:rsidR="008B0DB0" w:rsidRPr="008B0DB0" w:rsidRDefault="008B0DB0" w:rsidP="008B0DB0">
      <w:pPr>
        <w:rPr>
          <w:rFonts w:ascii="Palatino Linotype" w:hAnsi="Palatino Linotype" w:cs="Arial"/>
          <w:b/>
          <w:bCs/>
        </w:rPr>
      </w:pPr>
      <w:r w:rsidRPr="008B0DB0">
        <w:rPr>
          <w:rFonts w:ascii="Palatino Linotype" w:hAnsi="Palatino Linotype" w:cs="Arial"/>
          <w:b/>
          <w:bCs/>
          <w:noProof/>
        </w:rPr>
        <w:drawing>
          <wp:anchor distT="0" distB="0" distL="114300" distR="114300" simplePos="0" relativeHeight="251658240" behindDoc="0" locked="0" layoutInCell="1" allowOverlap="1" wp14:anchorId="679AE191" wp14:editId="7E6E630A">
            <wp:simplePos x="0" y="0"/>
            <wp:positionH relativeFrom="margin">
              <wp:align>right</wp:align>
            </wp:positionH>
            <wp:positionV relativeFrom="paragraph">
              <wp:posOffset>20320</wp:posOffset>
            </wp:positionV>
            <wp:extent cx="4502785" cy="3002280"/>
            <wp:effectExtent l="0" t="0" r="0" b="7620"/>
            <wp:wrapSquare wrapText="bothSides"/>
            <wp:docPr id="708560306" name="Picture 1" descr="A person looking at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560306" name="Picture 1" descr="A person looking at a compu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02785" cy="3002280"/>
                    </a:xfrm>
                    <a:prstGeom prst="rect">
                      <a:avLst/>
                    </a:prstGeom>
                  </pic:spPr>
                </pic:pic>
              </a:graphicData>
            </a:graphic>
            <wp14:sizeRelH relativeFrom="margin">
              <wp14:pctWidth>0</wp14:pctWidth>
            </wp14:sizeRelH>
            <wp14:sizeRelV relativeFrom="margin">
              <wp14:pctHeight>0</wp14:pctHeight>
            </wp14:sizeRelV>
          </wp:anchor>
        </w:drawing>
      </w:r>
      <w:r w:rsidRPr="008B0DB0">
        <w:rPr>
          <w:rFonts w:ascii="Palatino Linotype" w:hAnsi="Palatino Linotype" w:cs="Arial"/>
          <w:b/>
          <w:bCs/>
        </w:rPr>
        <w:t>Article: The Minnesota Twin Study and Genetically Inherited Behaviours</w:t>
      </w:r>
    </w:p>
    <w:p w14:paraId="48945130" w14:textId="65ECF3D6" w:rsidR="008B0DB0" w:rsidRPr="008B0DB0" w:rsidRDefault="008B0DB0" w:rsidP="008B0DB0">
      <w:pPr>
        <w:rPr>
          <w:rFonts w:ascii="Palatino Linotype" w:hAnsi="Palatino Linotype" w:cs="Arial"/>
        </w:rPr>
      </w:pPr>
      <w:r w:rsidRPr="008B0DB0">
        <w:rPr>
          <w:rFonts w:ascii="Palatino Linotype" w:hAnsi="Palatino Linotype" w:cs="Arial"/>
        </w:rPr>
        <w:t>The Minnesota Twin Study, one of the most comprehensive investigations into the role of genetics in human behaviour, has significantly advanced our understanding of how nature and nurture shape individuals. Conducted by researchers at the University of Minnesota since the late 1970s, the study examined monozygotic (identical) and dizygotic (fraternal) twins, including those raised together and apart. This unique approach allowed researchers to disentangle the effects of genetic inheritance from environmental influences.</w:t>
      </w:r>
    </w:p>
    <w:p w14:paraId="7CFB6AC9" w14:textId="5DED5122" w:rsidR="008B0DB0" w:rsidRPr="008B0DB0" w:rsidRDefault="008B0DB0" w:rsidP="008B0DB0">
      <w:pPr>
        <w:rPr>
          <w:rFonts w:ascii="Palatino Linotype" w:hAnsi="Palatino Linotype" w:cs="Arial"/>
        </w:rPr>
      </w:pPr>
      <w:r w:rsidRPr="008B0DB0">
        <w:rPr>
          <w:rFonts w:ascii="Palatino Linotype" w:hAnsi="Palatino Linotype" w:cs="Arial"/>
        </w:rPr>
        <w:t>One of the study’s most striking findings relates to the heritability of personality traits. Using tools like the Big Five personality inventory, researchers found that traits such as extraversion, openness, and neuroticism have a substantial genetic component. Identical twins raised apart displayed similar levels of these traits, often as similar as identical twins raised together. This suggests that genetics play a significant role in shaping our personalities, even in vastly different environments.</w:t>
      </w:r>
    </w:p>
    <w:p w14:paraId="543CA4BE" w14:textId="77777777" w:rsidR="008B0DB0" w:rsidRPr="008B0DB0" w:rsidRDefault="008B0DB0" w:rsidP="008B0DB0">
      <w:pPr>
        <w:rPr>
          <w:rFonts w:ascii="Palatino Linotype" w:hAnsi="Palatino Linotype" w:cs="Arial"/>
        </w:rPr>
      </w:pPr>
      <w:r w:rsidRPr="008B0DB0">
        <w:rPr>
          <w:rFonts w:ascii="Palatino Linotype" w:hAnsi="Palatino Linotype" w:cs="Arial"/>
        </w:rPr>
        <w:t>Another focus of the study was on intelligence. The researchers discovered a high heritability factor for IQ, with genetic influences accounting for about 70% of individual differences by adulthood. However, environmental factors, especially in childhood, also played a crucial role. For example, twins raised in intellectually stimulating environments often achieved higher educational outcomes than those raised in less supportive settings.</w:t>
      </w:r>
    </w:p>
    <w:p w14:paraId="3588F374" w14:textId="77777777" w:rsidR="008B0DB0" w:rsidRPr="008B0DB0" w:rsidRDefault="008B0DB0" w:rsidP="008B0DB0">
      <w:pPr>
        <w:rPr>
          <w:rFonts w:ascii="Palatino Linotype" w:hAnsi="Palatino Linotype" w:cs="Arial"/>
        </w:rPr>
      </w:pPr>
      <w:r w:rsidRPr="008B0DB0">
        <w:rPr>
          <w:rFonts w:ascii="Palatino Linotype" w:hAnsi="Palatino Linotype" w:cs="Arial"/>
        </w:rPr>
        <w:t>The study also explored genetically influenced behaviours, such as tendencies toward risk-taking, addiction, and even political orientation. Findings showed that while these behaviours have genetic underpinnings, they are also profoundly shaped by life experiences. For instance, genetic predispositions toward addiction may only manifest in specific environmental contexts, such as high-stress situations or exposure to addictive substances.</w:t>
      </w:r>
    </w:p>
    <w:p w14:paraId="61F0683A" w14:textId="77777777" w:rsidR="008B0DB0" w:rsidRPr="008B0DB0" w:rsidRDefault="008B0DB0" w:rsidP="008B0DB0">
      <w:pPr>
        <w:rPr>
          <w:rFonts w:ascii="Palatino Linotype" w:hAnsi="Palatino Linotype" w:cs="Arial"/>
        </w:rPr>
      </w:pPr>
      <w:r w:rsidRPr="008B0DB0">
        <w:rPr>
          <w:rFonts w:ascii="Palatino Linotype" w:hAnsi="Palatino Linotype" w:cs="Arial"/>
        </w:rPr>
        <w:t>While the Minnesota Twin Study has contributed immensely to psychology, it has also raised ethical concerns. Critics point out that the recruitment of twins separated at birth can be controversial, as it often involves examining individuals with unique and sometimes painful life circumstances. There are also concerns about privacy and the potential misuse of genetic information, such as stigmatizing individuals based on their genetic predispositions.</w:t>
      </w:r>
    </w:p>
    <w:p w14:paraId="5EDB7706" w14:textId="77777777" w:rsidR="008B0DB0" w:rsidRPr="008B0DB0" w:rsidRDefault="008B0DB0" w:rsidP="008B0DB0">
      <w:pPr>
        <w:rPr>
          <w:rFonts w:ascii="Palatino Linotype" w:hAnsi="Palatino Linotype" w:cs="Arial"/>
        </w:rPr>
      </w:pPr>
      <w:r w:rsidRPr="008B0DB0">
        <w:rPr>
          <w:rFonts w:ascii="Palatino Linotype" w:hAnsi="Palatino Linotype" w:cs="Arial"/>
        </w:rPr>
        <w:t>In conclusion, the Minnesota Twin Study underscores the complex interplay between genetics and environment in shaping human behaviour. While genetics provide a foundational blueprint, environmental factors act as critical modulators, highlighting the need for a balanced perspective on nature and nurture.</w:t>
      </w:r>
    </w:p>
    <w:p w14:paraId="6462620D" w14:textId="77777777" w:rsidR="008B0DB0" w:rsidRDefault="008B0DB0" w:rsidP="008B0DB0">
      <w:pPr>
        <w:ind w:left="720"/>
        <w:rPr>
          <w:rFonts w:ascii="Palatino Linotype" w:hAnsi="Palatino Linotype" w:cs="Arial"/>
        </w:rPr>
      </w:pPr>
    </w:p>
    <w:p w14:paraId="74343DC6" w14:textId="4B49AC43"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lastRenderedPageBreak/>
        <w:t>What is the Minnesota Twin Study, and what makes it unique?</w:t>
      </w:r>
    </w:p>
    <w:p w14:paraId="1332CB9F"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Define monozygotic and dizygotic twins.</w:t>
      </w:r>
    </w:p>
    <w:p w14:paraId="1EBA46FD"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How does the study differentiate between genetic and environmental influences?</w:t>
      </w:r>
    </w:p>
    <w:p w14:paraId="6B422289"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What are the Big Five personality traits?</w:t>
      </w:r>
    </w:p>
    <w:p w14:paraId="6333DEAC"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Which personality traits were found to have a significant genetic component?</w:t>
      </w:r>
    </w:p>
    <w:p w14:paraId="57F264E5"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How does the study demonstrate the heritability of intelligence?</w:t>
      </w:r>
    </w:p>
    <w:p w14:paraId="09157B10"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What percentage of individual differences in IQ is attributed to genetics by adulthood?</w:t>
      </w:r>
    </w:p>
    <w:p w14:paraId="181ECE6F"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How do childhood environments influence intelligence, according to the study?</w:t>
      </w:r>
    </w:p>
    <w:p w14:paraId="70E245F3"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What are some behaviours mentioned in the study that have genetic influences?</w:t>
      </w:r>
    </w:p>
    <w:p w14:paraId="33A25C03" w14:textId="2C98A07A"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Explain how genetic predispositions can interact with environmental contexts.</w:t>
      </w:r>
    </w:p>
    <w:p w14:paraId="76B0A5BF" w14:textId="2F87EB7C"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What role does environment play in addiction tendencies?</w:t>
      </w:r>
    </w:p>
    <w:p w14:paraId="71D3753D" w14:textId="7894D9EA"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Why is the study’s inclusion of twins raised apart important?</w:t>
      </w:r>
    </w:p>
    <w:p w14:paraId="584591E1" w14:textId="05857F08" w:rsidR="008B0DB0" w:rsidRPr="008B0DB0" w:rsidRDefault="008B0DB0" w:rsidP="008B0DB0">
      <w:pPr>
        <w:numPr>
          <w:ilvl w:val="0"/>
          <w:numId w:val="13"/>
        </w:numPr>
        <w:rPr>
          <w:rFonts w:ascii="Palatino Linotype" w:hAnsi="Palatino Linotype" w:cs="Arial"/>
        </w:rPr>
      </w:pPr>
      <w:r>
        <w:rPr>
          <w:rFonts w:ascii="Palatino Linotype" w:hAnsi="Palatino Linotype" w:cs="Arial"/>
          <w:noProof/>
          <w:sz w:val="28"/>
          <w:szCs w:val="28"/>
        </w:rPr>
        <w:drawing>
          <wp:anchor distT="0" distB="0" distL="114300" distR="114300" simplePos="0" relativeHeight="251659264" behindDoc="0" locked="0" layoutInCell="1" allowOverlap="1" wp14:anchorId="212E2726" wp14:editId="2649F5FB">
            <wp:simplePos x="0" y="0"/>
            <wp:positionH relativeFrom="margin">
              <wp:align>right</wp:align>
            </wp:positionH>
            <wp:positionV relativeFrom="paragraph">
              <wp:posOffset>80010</wp:posOffset>
            </wp:positionV>
            <wp:extent cx="3186430" cy="4779645"/>
            <wp:effectExtent l="0" t="0" r="0" b="1905"/>
            <wp:wrapSquare wrapText="bothSides"/>
            <wp:docPr id="1763816193" name="Picture 2" descr="A person and kids eating in the kitch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816193" name="Picture 2" descr="A person and kids eating in the kitche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86430" cy="4779645"/>
                    </a:xfrm>
                    <a:prstGeom prst="rect">
                      <a:avLst/>
                    </a:prstGeom>
                  </pic:spPr>
                </pic:pic>
              </a:graphicData>
            </a:graphic>
            <wp14:sizeRelH relativeFrom="margin">
              <wp14:pctWidth>0</wp14:pctWidth>
            </wp14:sizeRelH>
            <wp14:sizeRelV relativeFrom="margin">
              <wp14:pctHeight>0</wp14:pctHeight>
            </wp14:sizeRelV>
          </wp:anchor>
        </w:drawing>
      </w:r>
      <w:r w:rsidRPr="008B0DB0">
        <w:rPr>
          <w:rFonts w:ascii="Palatino Linotype" w:hAnsi="Palatino Linotype" w:cs="Arial"/>
        </w:rPr>
        <w:t>What are the ethical concerns associated with studies involving separated twins?</w:t>
      </w:r>
    </w:p>
    <w:p w14:paraId="7FFA5427" w14:textId="24C9A095"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How could genetic information be misused, according to critics?</w:t>
      </w:r>
    </w:p>
    <w:p w14:paraId="417B6031" w14:textId="77777777" w:rsidR="008B0DB0" w:rsidRPr="008B0DB0" w:rsidRDefault="008B0DB0" w:rsidP="008B0DB0">
      <w:pPr>
        <w:numPr>
          <w:ilvl w:val="0"/>
          <w:numId w:val="13"/>
        </w:numPr>
        <w:rPr>
          <w:rFonts w:ascii="Palatino Linotype" w:hAnsi="Palatino Linotype" w:cs="Arial"/>
        </w:rPr>
      </w:pPr>
      <w:r w:rsidRPr="008B0DB0">
        <w:rPr>
          <w:rFonts w:ascii="Palatino Linotype" w:hAnsi="Palatino Linotype" w:cs="Arial"/>
        </w:rPr>
        <w:t>What does the study reveal about the interplay of nature and nurture?</w:t>
      </w:r>
    </w:p>
    <w:p w14:paraId="10D00EA2" w14:textId="77777777" w:rsidR="008B0DB0" w:rsidRPr="008B0DB0" w:rsidRDefault="008B0DB0" w:rsidP="008B0DB0">
      <w:pPr>
        <w:numPr>
          <w:ilvl w:val="0"/>
          <w:numId w:val="14"/>
        </w:numPr>
        <w:rPr>
          <w:rFonts w:ascii="Palatino Linotype" w:hAnsi="Palatino Linotype" w:cs="Arial"/>
        </w:rPr>
      </w:pPr>
      <w:r w:rsidRPr="008B0DB0">
        <w:rPr>
          <w:rFonts w:ascii="Palatino Linotype" w:hAnsi="Palatino Linotype" w:cs="Arial"/>
        </w:rPr>
        <w:t>How might findings from the Minnesota Twin Study influence educational policies?</w:t>
      </w:r>
    </w:p>
    <w:p w14:paraId="18CE0F95" w14:textId="77777777" w:rsidR="008B0DB0" w:rsidRPr="008B0DB0" w:rsidRDefault="008B0DB0" w:rsidP="008B0DB0">
      <w:pPr>
        <w:numPr>
          <w:ilvl w:val="0"/>
          <w:numId w:val="14"/>
        </w:numPr>
        <w:rPr>
          <w:rFonts w:ascii="Palatino Linotype" w:hAnsi="Palatino Linotype" w:cs="Arial"/>
        </w:rPr>
      </w:pPr>
      <w:r w:rsidRPr="008B0DB0">
        <w:rPr>
          <w:rFonts w:ascii="Palatino Linotype" w:hAnsi="Palatino Linotype" w:cs="Arial"/>
        </w:rPr>
        <w:t>What are the potential benefits and drawbacks of understanding genetic predispositions to behaviour?</w:t>
      </w:r>
    </w:p>
    <w:p w14:paraId="3438797B" w14:textId="77777777" w:rsidR="008B0DB0" w:rsidRPr="008B0DB0" w:rsidRDefault="008B0DB0" w:rsidP="008B0DB0">
      <w:pPr>
        <w:numPr>
          <w:ilvl w:val="0"/>
          <w:numId w:val="14"/>
        </w:numPr>
        <w:rPr>
          <w:rFonts w:ascii="Palatino Linotype" w:hAnsi="Palatino Linotype" w:cs="Arial"/>
        </w:rPr>
      </w:pPr>
      <w:r w:rsidRPr="008B0DB0">
        <w:rPr>
          <w:rFonts w:ascii="Palatino Linotype" w:hAnsi="Palatino Linotype" w:cs="Arial"/>
        </w:rPr>
        <w:t>How should researchers address ethical concerns in future twin studies?</w:t>
      </w:r>
    </w:p>
    <w:p w14:paraId="75993FEB" w14:textId="77777777" w:rsidR="008B0DB0" w:rsidRPr="008B0DB0" w:rsidRDefault="008B0DB0" w:rsidP="008B0DB0">
      <w:pPr>
        <w:numPr>
          <w:ilvl w:val="0"/>
          <w:numId w:val="14"/>
        </w:numPr>
        <w:rPr>
          <w:rFonts w:ascii="Palatino Linotype" w:hAnsi="Palatino Linotype" w:cs="Arial"/>
        </w:rPr>
      </w:pPr>
      <w:r w:rsidRPr="008B0DB0">
        <w:rPr>
          <w:rFonts w:ascii="Palatino Linotype" w:hAnsi="Palatino Linotype" w:cs="Arial"/>
        </w:rPr>
        <w:t>In what ways could findings from this study impact how society views personal responsibility?</w:t>
      </w:r>
    </w:p>
    <w:p w14:paraId="13360B37" w14:textId="77777777" w:rsidR="008B0DB0" w:rsidRPr="008B0DB0" w:rsidRDefault="008B0DB0" w:rsidP="008B0DB0">
      <w:pPr>
        <w:numPr>
          <w:ilvl w:val="0"/>
          <w:numId w:val="14"/>
        </w:numPr>
        <w:rPr>
          <w:rFonts w:ascii="Palatino Linotype" w:hAnsi="Palatino Linotype" w:cs="Arial"/>
        </w:rPr>
      </w:pPr>
      <w:r w:rsidRPr="008B0DB0">
        <w:rPr>
          <w:rFonts w:ascii="Palatino Linotype" w:hAnsi="Palatino Linotype" w:cs="Arial"/>
        </w:rPr>
        <w:t xml:space="preserve">Should governments or organizations use genetic information for </w:t>
      </w:r>
      <w:proofErr w:type="gramStart"/>
      <w:r w:rsidRPr="008B0DB0">
        <w:rPr>
          <w:rFonts w:ascii="Palatino Linotype" w:hAnsi="Palatino Linotype" w:cs="Arial"/>
        </w:rPr>
        <w:t>policy-making</w:t>
      </w:r>
      <w:proofErr w:type="gramEnd"/>
      <w:r w:rsidRPr="008B0DB0">
        <w:rPr>
          <w:rFonts w:ascii="Palatino Linotype" w:hAnsi="Palatino Linotype" w:cs="Arial"/>
        </w:rPr>
        <w:t>? Why or why not?</w:t>
      </w:r>
    </w:p>
    <w:p w14:paraId="64117569" w14:textId="28C583A3" w:rsidR="006B414C" w:rsidRPr="006B414C" w:rsidRDefault="006B414C" w:rsidP="008B0DB0">
      <w:pPr>
        <w:rPr>
          <w:rFonts w:ascii="Palatino Linotype" w:hAnsi="Palatino Linotype" w:cs="Arial"/>
          <w:sz w:val="28"/>
          <w:szCs w:val="28"/>
        </w:rPr>
      </w:pPr>
    </w:p>
    <w:p w14:paraId="44B99A63" w14:textId="2D6C5B00" w:rsidR="00F07FA5" w:rsidRPr="006B414C" w:rsidRDefault="00F07FA5" w:rsidP="003C0521">
      <w:pPr>
        <w:rPr>
          <w:rFonts w:ascii="Palatino Linotype" w:hAnsi="Palatino Linotype" w:cs="Arial"/>
          <w:sz w:val="12"/>
          <w:szCs w:val="12"/>
        </w:rPr>
      </w:pPr>
    </w:p>
    <w:p w14:paraId="3049B8F1" w14:textId="6F96C160" w:rsidR="00E45765" w:rsidRPr="006B414C" w:rsidRDefault="00F07FA5" w:rsidP="003C0521">
      <w:pPr>
        <w:rPr>
          <w:rFonts w:ascii="Palatino Linotype" w:hAnsi="Palatino Linotype" w:cs="Arial"/>
          <w:sz w:val="12"/>
          <w:szCs w:val="12"/>
        </w:rPr>
      </w:pPr>
      <w:bookmarkStart w:id="0" w:name="_Hlk187420632"/>
      <w:r w:rsidRPr="006B414C">
        <w:rPr>
          <w:rFonts w:ascii="Palatino Linotype" w:hAnsi="Palatino Linotype" w:cs="Arial"/>
          <w:sz w:val="12"/>
          <w:szCs w:val="12"/>
        </w:rPr>
        <w:t xml:space="preserve">This worksheet is a free download from </w:t>
      </w:r>
      <w:proofErr w:type="spellStart"/>
      <w:r w:rsidRPr="006B414C">
        <w:rPr>
          <w:rFonts w:ascii="Palatino Linotype" w:hAnsi="Palatino Linotype" w:cs="Arial"/>
          <w:sz w:val="12"/>
          <w:szCs w:val="12"/>
        </w:rPr>
        <w:t>TomCoster</w:t>
      </w:r>
      <w:proofErr w:type="spellEnd"/>
      <w:r w:rsidRPr="006B414C">
        <w:rPr>
          <w:rFonts w:ascii="Palatino Linotype" w:hAnsi="Palatino Linotype" w:cs="Arial"/>
          <w:sz w:val="12"/>
          <w:szCs w:val="12"/>
        </w:rPr>
        <w:t xml:space="preserve">[dot]com. Please support us by buying a copy of </w:t>
      </w:r>
      <w:r w:rsidRPr="006B414C">
        <w:rPr>
          <w:rFonts w:ascii="Palatino Linotype" w:hAnsi="Palatino Linotype" w:cs="Arial"/>
          <w:i/>
          <w:iCs/>
          <w:sz w:val="12"/>
          <w:szCs w:val="12"/>
        </w:rPr>
        <w:t>How to succeed at high school or college</w:t>
      </w:r>
      <w:r w:rsidRPr="006B414C">
        <w:rPr>
          <w:rFonts w:ascii="Palatino Linotype" w:hAnsi="Palatino Linotype" w:cs="Arial"/>
          <w:sz w:val="12"/>
          <w:szCs w:val="12"/>
        </w:rPr>
        <w:t xml:space="preserve"> by Tom Coster – available on Amazon.</w:t>
      </w:r>
      <w:bookmarkEnd w:id="0"/>
    </w:p>
    <w:sectPr w:rsidR="00E45765" w:rsidRPr="006B414C"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3D59E3"/>
    <w:multiLevelType w:val="multilevel"/>
    <w:tmpl w:val="65A85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F33681"/>
    <w:multiLevelType w:val="multilevel"/>
    <w:tmpl w:val="68749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171663"/>
    <w:multiLevelType w:val="multilevel"/>
    <w:tmpl w:val="EFB6B85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B05B6B"/>
    <w:multiLevelType w:val="multilevel"/>
    <w:tmpl w:val="D8C81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447127"/>
    <w:multiLevelType w:val="multilevel"/>
    <w:tmpl w:val="48520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6"/>
  </w:num>
  <w:num w:numId="3" w16cid:durableId="189808713">
    <w:abstractNumId w:val="7"/>
  </w:num>
  <w:num w:numId="4" w16cid:durableId="1431705357">
    <w:abstractNumId w:val="4"/>
  </w:num>
  <w:num w:numId="5" w16cid:durableId="1616865923">
    <w:abstractNumId w:val="13"/>
  </w:num>
  <w:num w:numId="6" w16cid:durableId="1464888473">
    <w:abstractNumId w:val="9"/>
  </w:num>
  <w:num w:numId="7" w16cid:durableId="946624077">
    <w:abstractNumId w:val="12"/>
  </w:num>
  <w:num w:numId="8" w16cid:durableId="981888656">
    <w:abstractNumId w:val="2"/>
  </w:num>
  <w:num w:numId="9" w16cid:durableId="358241867">
    <w:abstractNumId w:val="10"/>
  </w:num>
  <w:num w:numId="10" w16cid:durableId="647711131">
    <w:abstractNumId w:val="11"/>
  </w:num>
  <w:num w:numId="11" w16cid:durableId="2096589249">
    <w:abstractNumId w:val="1"/>
  </w:num>
  <w:num w:numId="12" w16cid:durableId="409236397">
    <w:abstractNumId w:val="8"/>
  </w:num>
  <w:num w:numId="13" w16cid:durableId="1100954068">
    <w:abstractNumId w:val="3"/>
  </w:num>
  <w:num w:numId="14" w16cid:durableId="3248220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25A7B"/>
    <w:rsid w:val="00320E70"/>
    <w:rsid w:val="003A5435"/>
    <w:rsid w:val="003C0521"/>
    <w:rsid w:val="003D78D6"/>
    <w:rsid w:val="004454C0"/>
    <w:rsid w:val="004928E5"/>
    <w:rsid w:val="00695EA8"/>
    <w:rsid w:val="006B414C"/>
    <w:rsid w:val="008B0DB0"/>
    <w:rsid w:val="00B25AAB"/>
    <w:rsid w:val="00C31E4B"/>
    <w:rsid w:val="00C9728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991384">
      <w:bodyDiv w:val="1"/>
      <w:marLeft w:val="0"/>
      <w:marRight w:val="0"/>
      <w:marTop w:val="0"/>
      <w:marBottom w:val="0"/>
      <w:divBdr>
        <w:top w:val="none" w:sz="0" w:space="0" w:color="auto"/>
        <w:left w:val="none" w:sz="0" w:space="0" w:color="auto"/>
        <w:bottom w:val="none" w:sz="0" w:space="0" w:color="auto"/>
        <w:right w:val="none" w:sz="0" w:space="0" w:color="auto"/>
      </w:divBdr>
    </w:div>
    <w:div w:id="112677729">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37969914">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780106483">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503619810">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797025730">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11</cp:revision>
  <dcterms:created xsi:type="dcterms:W3CDTF">2025-01-10T11:38:00Z</dcterms:created>
  <dcterms:modified xsi:type="dcterms:W3CDTF">2025-01-18T09:35:00Z</dcterms:modified>
</cp:coreProperties>
</file>